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F1" w:rsidRDefault="00E169F1" w:rsidP="00E169F1">
      <w:pPr>
        <w:spacing w:after="720"/>
        <w:jc w:val="center"/>
        <w:rPr>
          <w:b/>
        </w:rPr>
      </w:pPr>
      <w:r>
        <w:rPr>
          <w:noProof/>
        </w:rPr>
        <w:drawing>
          <wp:inline distT="0" distB="0" distL="0" distR="0" wp14:anchorId="48124CD6" wp14:editId="011A7AC6">
            <wp:extent cx="2590964"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3581" cy="962997"/>
                    </a:xfrm>
                    <a:prstGeom prst="rect">
                      <a:avLst/>
                    </a:prstGeom>
                    <a:noFill/>
                    <a:ln>
                      <a:noFill/>
                    </a:ln>
                  </pic:spPr>
                </pic:pic>
              </a:graphicData>
            </a:graphic>
          </wp:inline>
        </w:drawing>
      </w:r>
    </w:p>
    <w:p w:rsidR="00E169F1" w:rsidRDefault="00E169F1" w:rsidP="00E169F1">
      <w:pPr>
        <w:pStyle w:val="GGenL1"/>
      </w:pPr>
      <w:bookmarkStart w:id="0" w:name="_Toc412806125"/>
      <w:r>
        <w:t>NOTICE OF ANNUAL MEETING OF SHAREHOLDERS</w:t>
      </w:r>
      <w:bookmarkEnd w:id="0"/>
    </w:p>
    <w:p w:rsidR="00E169F1" w:rsidRPr="007F4710" w:rsidRDefault="00E169F1" w:rsidP="00E169F1">
      <w:r>
        <w:t>NOTICE IS HEREBY GIVEN that the annual meeting (the “</w:t>
      </w:r>
      <w:r>
        <w:rPr>
          <w:b/>
        </w:rPr>
        <w:t>Meeting</w:t>
      </w:r>
      <w:r>
        <w:t>”) of the hold</w:t>
      </w:r>
      <w:r w:rsidRPr="006337C1">
        <w:t>ers of common shares (the “</w:t>
      </w:r>
      <w:r w:rsidRPr="006337C1">
        <w:rPr>
          <w:b/>
        </w:rPr>
        <w:t>Shareholders</w:t>
      </w:r>
      <w:r w:rsidRPr="006337C1">
        <w:t>”) of Cineplex Inc. (the “</w:t>
      </w:r>
      <w:r w:rsidRPr="006337C1">
        <w:rPr>
          <w:b/>
        </w:rPr>
        <w:t>Corporation</w:t>
      </w:r>
      <w:r w:rsidRPr="006337C1">
        <w:t>”) will be held at 10:30 a.m.</w:t>
      </w:r>
      <w:r w:rsidRPr="006337C1">
        <w:rPr>
          <w:b/>
        </w:rPr>
        <w:t xml:space="preserve"> </w:t>
      </w:r>
      <w:r w:rsidRPr="006337C1">
        <w:t>Eastern Daylight Time on Wednesday, May 13, 2015 at the Cineplex Cinemas Yonge</w:t>
      </w:r>
      <w:r>
        <w:t>-</w:t>
      </w:r>
      <w:r w:rsidRPr="006337C1">
        <w:t>Dundas</w:t>
      </w:r>
      <w:r>
        <w:t xml:space="preserve"> and VIP</w:t>
      </w:r>
      <w:r w:rsidRPr="006337C1">
        <w:t>, 10 Dundas Street East, 4</w:t>
      </w:r>
      <w:r w:rsidRPr="006337C1">
        <w:rPr>
          <w:vertAlign w:val="superscript"/>
        </w:rPr>
        <w:t>th</w:t>
      </w:r>
      <w:r w:rsidRPr="006337C1">
        <w:t xml:space="preserve"> floor, Toronto, Ontario, for the following purposes:</w:t>
      </w:r>
    </w:p>
    <w:p w:rsidR="00E169F1" w:rsidRDefault="00E169F1" w:rsidP="00E169F1">
      <w:pPr>
        <w:pStyle w:val="SimpleAL2"/>
      </w:pPr>
      <w:r>
        <w:t>to receive the consolidated financial statements of the Corporation for the period ended December 31, 2014 and the report of the auditors thereon;</w:t>
      </w:r>
    </w:p>
    <w:p w:rsidR="00E169F1" w:rsidRDefault="00E169F1" w:rsidP="00E169F1">
      <w:pPr>
        <w:pStyle w:val="SimpleAL2"/>
      </w:pPr>
      <w:r>
        <w:t>to elect directors for the coming year;</w:t>
      </w:r>
    </w:p>
    <w:p w:rsidR="00E169F1" w:rsidRDefault="00E169F1" w:rsidP="00E169F1">
      <w:pPr>
        <w:pStyle w:val="SimpleAL2"/>
      </w:pPr>
      <w:r>
        <w:t>to appoint PricewaterhouseCoopers LLP as auditors of the Corporation for the coming year and to authorize the directors to fix the remuneration to be paid to the auditors; and</w:t>
      </w:r>
    </w:p>
    <w:p w:rsidR="00E169F1" w:rsidRDefault="00E169F1" w:rsidP="00E169F1">
      <w:pPr>
        <w:pStyle w:val="SimpleAL2"/>
      </w:pPr>
      <w:proofErr w:type="gramStart"/>
      <w:r>
        <w:t>to</w:t>
      </w:r>
      <w:proofErr w:type="gramEnd"/>
      <w:r>
        <w:t xml:space="preserve"> transact such other business as may properly come before the Meeting and any and all adjournments thereof.</w:t>
      </w:r>
    </w:p>
    <w:p w:rsidR="00E169F1" w:rsidRDefault="00E169F1" w:rsidP="00E169F1">
      <w:r>
        <w:t>The Corporation’s Management Information Circular provides additional information relating to matters to be dealt with at the Meeting and forms part of this Notice of Annual Meeting of Shareholders.</w:t>
      </w:r>
    </w:p>
    <w:p w:rsidR="00E169F1" w:rsidRPr="0089492E" w:rsidRDefault="00E169F1" w:rsidP="00E169F1">
      <w:r w:rsidRPr="00B82E9A">
        <w:t xml:space="preserve">The Corporation is utilizing the </w:t>
      </w:r>
      <w:r>
        <w:t>“</w:t>
      </w:r>
      <w:r w:rsidRPr="00B82E9A">
        <w:t>notice-and-access</w:t>
      </w:r>
      <w:r>
        <w:t>”</w:t>
      </w:r>
      <w:r w:rsidRPr="00B82E9A">
        <w:t xml:space="preserve"> process that came into effect on February 11, 2013, under National Instrument 54-101 - </w:t>
      </w:r>
      <w:r w:rsidRPr="00CC1ABE">
        <w:rPr>
          <w:i/>
        </w:rPr>
        <w:t>Communication with Beneficial Owners of Securities of a Reporting Issuer</w:t>
      </w:r>
      <w:r w:rsidRPr="00B82E9A">
        <w:t xml:space="preserve"> and National Instrument 51-102 - </w:t>
      </w:r>
      <w:r w:rsidRPr="00CC1ABE">
        <w:rPr>
          <w:i/>
        </w:rPr>
        <w:t xml:space="preserve">Continuous </w:t>
      </w:r>
      <w:r w:rsidRPr="0089492E">
        <w:rPr>
          <w:i/>
        </w:rPr>
        <w:t>Disclosure Obligations</w:t>
      </w:r>
      <w:r w:rsidRPr="0089492E">
        <w:t>, for distribution of the Meeting materials to Shareholders.</w:t>
      </w:r>
    </w:p>
    <w:p w:rsidR="00E169F1" w:rsidRPr="00086140" w:rsidRDefault="00E169F1" w:rsidP="00E169F1">
      <w:pPr>
        <w:rPr>
          <w:b/>
        </w:rPr>
      </w:pPr>
      <w:r w:rsidRPr="0089492E">
        <w:t xml:space="preserve">Notice-and-access is </w:t>
      </w:r>
      <w:r w:rsidRPr="00086140">
        <w:t xml:space="preserve">a set of rules that allows issuers to post electronic versions of meeting materials, including circulars and annual financial statements, online via SEDAR at </w:t>
      </w:r>
      <w:hyperlink r:id="rId6" w:history="1">
        <w:r w:rsidRPr="00E055D0">
          <w:rPr>
            <w:rStyle w:val="Hyperlink"/>
          </w:rPr>
          <w:t>www.sedar.com</w:t>
        </w:r>
      </w:hyperlink>
      <w:r>
        <w:rPr>
          <w:color w:val="0070C0"/>
        </w:rPr>
        <w:t xml:space="preserve"> </w:t>
      </w:r>
      <w:r w:rsidRPr="00086140">
        <w:t>and one other website, rather than mailing paper copies of such meeting materials to shar</w:t>
      </w:r>
      <w:r>
        <w:t xml:space="preserve">eholders.  </w:t>
      </w:r>
      <w:r w:rsidRPr="00F6073C">
        <w:t>Electronic copies of the Management Information Circular and the Corporation’s consolidated financial statements and</w:t>
      </w:r>
      <w:r w:rsidRPr="00086140">
        <w:t xml:space="preserve"> management</w:t>
      </w:r>
      <w:r>
        <w:t>’</w:t>
      </w:r>
      <w:r w:rsidRPr="00086140">
        <w:t xml:space="preserve">s discussion and analysis for </w:t>
      </w:r>
      <w:r>
        <w:t>the year ended December 31, 2014</w:t>
      </w:r>
      <w:r w:rsidRPr="00086140">
        <w:t xml:space="preserve"> may be found on SEDAR at </w:t>
      </w:r>
      <w:hyperlink r:id="rId7" w:history="1">
        <w:r w:rsidRPr="00E055D0">
          <w:rPr>
            <w:rStyle w:val="Hyperlink"/>
          </w:rPr>
          <w:t>www.sedar.com</w:t>
        </w:r>
      </w:hyperlink>
      <w:r>
        <w:rPr>
          <w:color w:val="0070C0"/>
        </w:rPr>
        <w:t xml:space="preserve"> </w:t>
      </w:r>
      <w:r w:rsidRPr="00086140">
        <w:t>and also on the Corporation</w:t>
      </w:r>
      <w:r>
        <w:t>’</w:t>
      </w:r>
      <w:r w:rsidRPr="00086140">
        <w:t xml:space="preserve">s </w:t>
      </w:r>
      <w:r>
        <w:t xml:space="preserve">investor relations </w:t>
      </w:r>
      <w:r w:rsidRPr="00086140">
        <w:t xml:space="preserve">website at </w:t>
      </w:r>
      <w:hyperlink r:id="rId8" w:history="1">
        <w:r w:rsidRPr="00E055D0">
          <w:rPr>
            <w:rStyle w:val="Hyperlink"/>
          </w:rPr>
          <w:t>http://ir.cineplex.com/</w:t>
        </w:r>
      </w:hyperlink>
      <w:r w:rsidRPr="00086140">
        <w:t>.</w:t>
      </w:r>
    </w:p>
    <w:p w:rsidR="00E169F1" w:rsidRDefault="00E169F1" w:rsidP="00E169F1">
      <w:r>
        <w:t>U</w:t>
      </w:r>
      <w:r w:rsidRPr="00086140">
        <w:t>tilizing the notice-and-ac</w:t>
      </w:r>
      <w:r w:rsidRPr="0019600A">
        <w:t>cess process directly benefits the Corporation through a reduction in both postage and printing costs, and also</w:t>
      </w:r>
      <w:r w:rsidRPr="00A757BE">
        <w:t xml:space="preserve"> promote</w:t>
      </w:r>
      <w:r>
        <w:t>s</w:t>
      </w:r>
      <w:r w:rsidRPr="00A757BE">
        <w:t xml:space="preserve"> </w:t>
      </w:r>
      <w:r>
        <w:t xml:space="preserve">environmental responsibility by </w:t>
      </w:r>
      <w:r w:rsidRPr="00A757BE">
        <w:t>decreasing the large volume of paper documents generated by printing p</w:t>
      </w:r>
      <w:r>
        <w:t>roxy-related materials. It also provides S</w:t>
      </w:r>
      <w:r w:rsidRPr="00A757BE">
        <w:t xml:space="preserve">hareholders with faster access to information about </w:t>
      </w:r>
      <w:r>
        <w:t>the Corporation</w:t>
      </w:r>
      <w:r w:rsidRPr="00A757BE">
        <w:t>.</w:t>
      </w:r>
    </w:p>
    <w:p w:rsidR="00E169F1" w:rsidRPr="0047272F" w:rsidRDefault="00E169F1" w:rsidP="00E169F1">
      <w:r w:rsidRPr="0047272F">
        <w:t>Shareholders with questions about notice-and-access may contact the Corporation</w:t>
      </w:r>
      <w:r>
        <w:t>’</w:t>
      </w:r>
      <w:r w:rsidRPr="0047272F">
        <w:t>s Chief Legal Officer by</w:t>
      </w:r>
      <w:r>
        <w:t xml:space="preserve"> telephone at (416) 323-7274 or by </w:t>
      </w:r>
      <w:r w:rsidRPr="0047272F">
        <w:t xml:space="preserve">e-mail </w:t>
      </w:r>
      <w:r>
        <w:t>to</w:t>
      </w:r>
      <w:r w:rsidRPr="0047272F">
        <w:t xml:space="preserve"> anne.fitzgerald@cineplex.com. Shareholders may obtain paper copies of the Management Information Circular and the Corporation</w:t>
      </w:r>
      <w:r>
        <w:t>’</w:t>
      </w:r>
      <w:r w:rsidRPr="0047272F">
        <w:t xml:space="preserve">s </w:t>
      </w:r>
      <w:r>
        <w:t>2014</w:t>
      </w:r>
      <w:r w:rsidRPr="0047272F">
        <w:t xml:space="preserve"> financial statements free of charge by contacting the Corporation</w:t>
      </w:r>
      <w:r>
        <w:t>’</w:t>
      </w:r>
      <w:r w:rsidRPr="0047272F">
        <w:t xml:space="preserve">s Chief Legal Officer at the </w:t>
      </w:r>
      <w:r>
        <w:t xml:space="preserve">contact details </w:t>
      </w:r>
      <w:r w:rsidRPr="0047272F">
        <w:t>noted above.</w:t>
      </w:r>
    </w:p>
    <w:p w:rsidR="00E169F1" w:rsidRDefault="00E169F1" w:rsidP="00E169F1">
      <w:r w:rsidRPr="0047272F">
        <w:lastRenderedPageBreak/>
        <w:t xml:space="preserve">A request for paper </w:t>
      </w:r>
      <w:r w:rsidRPr="005E37A0">
        <w:t xml:space="preserve">copies before the Meeting should be sent well in advance, so that it is received by the Corporation </w:t>
      </w:r>
      <w:r w:rsidRPr="002D4028">
        <w:t>by May 1,</w:t>
      </w:r>
      <w:r w:rsidRPr="005E37A0">
        <w:t xml:space="preserve"> </w:t>
      </w:r>
      <w:r>
        <w:t>2015</w:t>
      </w:r>
      <w:r w:rsidRPr="005E37A0">
        <w:t>, in order to allow sufficient time for the Shareholders to receive the paper copies and to return the proxy form or voting instruction form by its due date. The Corporation will mail the paper copies within three business days of any request</w:t>
      </w:r>
      <w:r w:rsidRPr="0047272F">
        <w:t xml:space="preserve">. Shareholders will receive </w:t>
      </w:r>
      <w:r>
        <w:t xml:space="preserve">by pre-paid mail </w:t>
      </w:r>
      <w:r w:rsidRPr="0047272F">
        <w:t xml:space="preserve">a </w:t>
      </w:r>
      <w:r>
        <w:t>“</w:t>
      </w:r>
      <w:r w:rsidRPr="0047272F">
        <w:t>notice package</w:t>
      </w:r>
      <w:r>
        <w:t xml:space="preserve">” </w:t>
      </w:r>
      <w:r w:rsidRPr="0047272F">
        <w:t xml:space="preserve">which </w:t>
      </w:r>
      <w:r>
        <w:t>will include</w:t>
      </w:r>
      <w:r w:rsidRPr="0047272F">
        <w:t xml:space="preserve"> a proxy form or voting instruction form toge</w:t>
      </w:r>
      <w:r>
        <w:t>ther with this Notice of Annua</w:t>
      </w:r>
      <w:r w:rsidRPr="0047272F">
        <w:t xml:space="preserve">l Meeting of Shareholders. </w:t>
      </w:r>
    </w:p>
    <w:p w:rsidR="00E169F1" w:rsidRPr="00A10850" w:rsidRDefault="00E169F1" w:rsidP="00E169F1">
      <w:pPr>
        <w:rPr>
          <w:b/>
        </w:rPr>
      </w:pPr>
      <w:r w:rsidRPr="0047272F">
        <w:t xml:space="preserve">Shareholders should follow the instructions for completion and delivery contained in the voting instruction form. </w:t>
      </w:r>
      <w:r w:rsidRPr="0047272F">
        <w:rPr>
          <w:b/>
        </w:rPr>
        <w:t>Shareholders are reminded to review the Management Information Circular before voting.</w:t>
      </w:r>
    </w:p>
    <w:p w:rsidR="00E169F1" w:rsidRDefault="00E169F1" w:rsidP="00E169F1">
      <w:pPr>
        <w:keepNext/>
      </w:pPr>
      <w:r>
        <w:t xml:space="preserve">DATED at Toronto, </w:t>
      </w:r>
      <w:r w:rsidRPr="0042706E">
        <w:t xml:space="preserve">Ontario this </w:t>
      </w:r>
      <w:r>
        <w:t>31</w:t>
      </w:r>
      <w:r w:rsidRPr="00DB13E3">
        <w:rPr>
          <w:vertAlign w:val="superscript"/>
        </w:rPr>
        <w:t>st</w:t>
      </w:r>
      <w:r>
        <w:t xml:space="preserve"> </w:t>
      </w:r>
      <w:r w:rsidRPr="0042706E">
        <w:t>day</w:t>
      </w:r>
      <w:r>
        <w:t xml:space="preserve"> of March, 2015.</w:t>
      </w:r>
    </w:p>
    <w:p w:rsidR="00E169F1" w:rsidRPr="0047272F" w:rsidRDefault="00E169F1" w:rsidP="00E169F1">
      <w:pPr>
        <w:keepLines/>
        <w:spacing w:before="720" w:after="720"/>
        <w:ind w:left="5760"/>
      </w:pPr>
      <w:r>
        <w:t>By Order of the Directors</w:t>
      </w:r>
      <w:r>
        <w:br/>
        <w:t>“</w:t>
      </w:r>
      <w:r>
        <w:rPr>
          <w:i/>
        </w:rPr>
        <w:t>Ellis Jacob</w:t>
      </w:r>
      <w:r>
        <w:t>”</w:t>
      </w:r>
      <w:r>
        <w:br/>
      </w:r>
      <w:r w:rsidRPr="0047272F">
        <w:t>President and Chief Executive Officer</w:t>
      </w:r>
    </w:p>
    <w:p w:rsidR="00E169F1" w:rsidRDefault="00E169F1" w:rsidP="00E169F1">
      <w:r w:rsidRPr="0047272F">
        <w:t>Note: If you are a Shareholder and you are not able to be present at the Meeting, please exercise your right to vote by signing and returning the enclosed form of proxy to CST Trust Company so as to arrive not less than 48 hours before the time set for the holding of the Meeting or any reconvened meeting after an adjournment or postponement thereof (excluding Saturdays, Sundays and holidays). The enclosed form of proxy may be returned by facsimile to (416) 368-2502 or toll-free at (866) 781-3111, or by mail: (a) in the enclosed envelope; or (b) in an envelope addressed to Cineplex Inc., c/o Proxy Department, CST</w:t>
      </w:r>
      <w:r>
        <w:t xml:space="preserve"> </w:t>
      </w:r>
      <w:r w:rsidRPr="0047272F">
        <w:t xml:space="preserve">Trust Company, P.O. Box 721, Agincourt, Ontario, M1S 0A1. The Directors of the Corporation have fixed the record date for the </w:t>
      </w:r>
      <w:r w:rsidRPr="006337C1">
        <w:t xml:space="preserve">Meeting as </w:t>
      </w:r>
      <w:r w:rsidRPr="008E4D05">
        <w:t>March 31</w:t>
      </w:r>
      <w:r w:rsidRPr="006337C1">
        <w:t>, 2015</w:t>
      </w:r>
      <w:r w:rsidRPr="0047272F">
        <w:t xml:space="preserve"> (the </w:t>
      </w:r>
      <w:r>
        <w:t>“</w:t>
      </w:r>
      <w:r w:rsidRPr="0047272F">
        <w:rPr>
          <w:b/>
        </w:rPr>
        <w:t>Record Date</w:t>
      </w:r>
      <w:r>
        <w:t>”</w:t>
      </w:r>
      <w:r w:rsidRPr="0047272F">
        <w:t>). Only Shareholders of record at the close of business on the Record Date will be entitled to notice of the Meeting.</w:t>
      </w:r>
    </w:p>
    <w:p w:rsidR="00E169F1" w:rsidRDefault="00E169F1" w:rsidP="00E169F1">
      <w:pPr>
        <w:spacing w:after="1440"/>
        <w:rPr>
          <w:szCs w:val="20"/>
        </w:rPr>
      </w:pPr>
    </w:p>
    <w:p w:rsidR="00E815C9" w:rsidRDefault="00E815C9">
      <w:bookmarkStart w:id="1" w:name="_GoBack"/>
      <w:bookmarkEnd w:id="1"/>
    </w:p>
    <w:sectPr w:rsidR="00E81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46EBD"/>
    <w:multiLevelType w:val="multilevel"/>
    <w:tmpl w:val="D80E2AF6"/>
    <w:name w:val="SimpleA-418863914-F"/>
    <w:styleLink w:val="SimpleAList"/>
    <w:lvl w:ilvl="0">
      <w:start w:val="1"/>
      <w:numFmt w:val="decimal"/>
      <w:lvlRestart w:val="0"/>
      <w:pStyle w:val="SimpleAL1"/>
      <w:lvlText w:val="%1."/>
      <w:lvlJc w:val="left"/>
      <w:pPr>
        <w:tabs>
          <w:tab w:val="num" w:pos="720"/>
        </w:tabs>
        <w:ind w:left="720" w:hanging="720"/>
      </w:pPr>
      <w:rPr>
        <w:rFonts w:ascii="Times New Roman" w:hAnsi="Times New Roman" w:cs="Times New Roman"/>
        <w:b w:val="0"/>
        <w:i w:val="0"/>
        <w:caps w:val="0"/>
        <w:smallCaps w:val="0"/>
        <w:color w:val="000000"/>
        <w:sz w:val="20"/>
        <w:u w:val="none"/>
      </w:rPr>
    </w:lvl>
    <w:lvl w:ilvl="1">
      <w:start w:val="1"/>
      <w:numFmt w:val="lowerLetter"/>
      <w:pStyle w:val="SimpleAL2"/>
      <w:lvlText w:val="(%2)"/>
      <w:lvlJc w:val="left"/>
      <w:pPr>
        <w:tabs>
          <w:tab w:val="num" w:pos="1440"/>
        </w:tabs>
        <w:ind w:left="1440" w:hanging="720"/>
      </w:pPr>
      <w:rPr>
        <w:rFonts w:ascii="Times New Roman" w:hAnsi="Times New Roman" w:cs="Times New Roman"/>
        <w:b w:val="0"/>
        <w:i w:val="0"/>
        <w:caps w:val="0"/>
        <w:smallCaps w:val="0"/>
        <w:color w:val="000000"/>
        <w:sz w:val="20"/>
        <w:u w:val="none"/>
      </w:rPr>
    </w:lvl>
    <w:lvl w:ilvl="2">
      <w:start w:val="1"/>
      <w:numFmt w:val="lowerRoman"/>
      <w:pStyle w:val="SimpleAL3"/>
      <w:lvlText w:val="(%3)"/>
      <w:lvlJc w:val="left"/>
      <w:pPr>
        <w:tabs>
          <w:tab w:val="num" w:pos="2160"/>
        </w:tabs>
        <w:ind w:left="2160" w:hanging="720"/>
      </w:pPr>
      <w:rPr>
        <w:rFonts w:ascii="Times New Roman" w:hAnsi="Times New Roman" w:cs="Times New Roman"/>
        <w:b w:val="0"/>
        <w:i w:val="0"/>
        <w:caps w:val="0"/>
        <w:smallCaps w:val="0"/>
        <w:color w:val="000000"/>
        <w:sz w:val="20"/>
        <w:u w:val="none"/>
      </w:rPr>
    </w:lvl>
    <w:lvl w:ilvl="3">
      <w:start w:val="1"/>
      <w:numFmt w:val="upperLetter"/>
      <w:pStyle w:val="SimpleAL4"/>
      <w:lvlText w:val="(%4)"/>
      <w:lvlJc w:val="left"/>
      <w:pPr>
        <w:tabs>
          <w:tab w:val="num" w:pos="2880"/>
        </w:tabs>
        <w:ind w:left="2880" w:hanging="720"/>
      </w:pPr>
      <w:rPr>
        <w:rFonts w:ascii="Times New Roman" w:hAnsi="Times New Roman" w:cs="Times New Roman"/>
        <w:b w:val="0"/>
        <w:i w:val="0"/>
        <w:caps w:val="0"/>
        <w:smallCaps w:val="0"/>
        <w:color w:val="000000"/>
        <w:sz w:val="20"/>
        <w:u w:val="none"/>
      </w:rPr>
    </w:lvl>
    <w:lvl w:ilvl="4">
      <w:start w:val="1"/>
      <w:numFmt w:val="decimal"/>
      <w:pStyle w:val="SimpleAL5"/>
      <w:lvlText w:val="(%5)"/>
      <w:lvlJc w:val="left"/>
      <w:pPr>
        <w:tabs>
          <w:tab w:val="num" w:pos="3600"/>
        </w:tabs>
        <w:ind w:left="3600" w:hanging="720"/>
      </w:pPr>
      <w:rPr>
        <w:rFonts w:ascii="Times New Roman" w:hAnsi="Times New Roman" w:cs="Times New Roman"/>
        <w:b w:val="0"/>
        <w:i w:val="0"/>
        <w:caps w:val="0"/>
        <w:smallCaps w:val="0"/>
        <w:color w:val="000000"/>
        <w:sz w:val="20"/>
        <w:u w:val="none"/>
      </w:rPr>
    </w:lvl>
    <w:lvl w:ilvl="5">
      <w:start w:val="1"/>
      <w:numFmt w:val="lowerRoman"/>
      <w:pStyle w:val="SimpleAL6"/>
      <w:lvlText w:val="(%6)"/>
      <w:lvlJc w:val="left"/>
      <w:pPr>
        <w:tabs>
          <w:tab w:val="num" w:pos="4320"/>
        </w:tabs>
        <w:ind w:left="4320" w:hanging="720"/>
      </w:pPr>
      <w:rPr>
        <w:rFonts w:ascii="Times New Roman" w:hAnsi="Times New Roman" w:cs="Times New Roman"/>
        <w:b w:val="0"/>
        <w:i w:val="0"/>
        <w:caps w:val="0"/>
        <w:smallCaps w:val="0"/>
        <w:color w:val="000000"/>
        <w:sz w:val="20"/>
        <w:u w:val="none"/>
      </w:rPr>
    </w:lvl>
    <w:lvl w:ilvl="6">
      <w:start w:val="1"/>
      <w:numFmt w:val="decimal"/>
      <w:pStyle w:val="SimpleAL7"/>
      <w:lvlText w:val="%7."/>
      <w:lvlJc w:val="left"/>
      <w:pPr>
        <w:tabs>
          <w:tab w:val="num" w:pos="5040"/>
        </w:tabs>
        <w:ind w:left="5040" w:hanging="720"/>
      </w:pPr>
      <w:rPr>
        <w:rFonts w:ascii="Times New Roman" w:hAnsi="Times New Roman" w:cs="Times New Roman"/>
        <w:b w:val="0"/>
        <w:i w:val="0"/>
        <w:caps w:val="0"/>
        <w:smallCaps w:val="0"/>
        <w:color w:val="000000"/>
        <w:sz w:val="20"/>
        <w:u w:val="none"/>
      </w:rPr>
    </w:lvl>
    <w:lvl w:ilvl="7">
      <w:start w:val="1"/>
      <w:numFmt w:val="lowerLetter"/>
      <w:pStyle w:val="SimpleAL8"/>
      <w:lvlText w:val="%8."/>
      <w:lvlJc w:val="left"/>
      <w:pPr>
        <w:tabs>
          <w:tab w:val="num" w:pos="5760"/>
        </w:tabs>
        <w:ind w:left="5760" w:hanging="720"/>
      </w:pPr>
      <w:rPr>
        <w:rFonts w:ascii="Times New Roman" w:hAnsi="Times New Roman" w:cs="Times New Roman"/>
        <w:b w:val="0"/>
        <w:i w:val="0"/>
        <w:caps w:val="0"/>
        <w:smallCaps w:val="0"/>
        <w:color w:val="000000"/>
        <w:sz w:val="20"/>
        <w:u w:val="none"/>
      </w:rPr>
    </w:lvl>
    <w:lvl w:ilvl="8">
      <w:start w:val="1"/>
      <w:numFmt w:val="lowerRoman"/>
      <w:pStyle w:val="SimpleAL9"/>
      <w:lvlText w:val="%9."/>
      <w:lvlJc w:val="left"/>
      <w:pPr>
        <w:tabs>
          <w:tab w:val="num" w:pos="6480"/>
        </w:tabs>
        <w:ind w:left="6480" w:hanging="720"/>
      </w:pPr>
      <w:rPr>
        <w:rFonts w:ascii="Times New Roman" w:hAnsi="Times New Roman" w:cs="Times New Roman"/>
        <w:b w:val="0"/>
        <w:i w:val="0"/>
        <w:caps w:val="0"/>
        <w:smallCaps w:val="0"/>
        <w:color w:val="000000"/>
        <w:sz w:val="20"/>
        <w:u w:val="none"/>
      </w:rPr>
    </w:lvl>
  </w:abstractNum>
  <w:abstractNum w:abstractNumId="1">
    <w:nsid w:val="5DBD5741"/>
    <w:multiLevelType w:val="multilevel"/>
    <w:tmpl w:val="511E679E"/>
    <w:styleLink w:val="GGeneralList"/>
    <w:lvl w:ilvl="0">
      <w:start w:val="1"/>
      <w:numFmt w:val="none"/>
      <w:lvlRestart w:val="0"/>
      <w:pStyle w:val="GGenL1"/>
      <w:suff w:val="nothing"/>
      <w:lvlText w:val=""/>
      <w:lvlJc w:val="left"/>
      <w:pPr>
        <w:ind w:left="0" w:firstLine="0"/>
      </w:pPr>
      <w:rPr>
        <w:rFonts w:ascii="Times New Roman" w:hAnsi="Times New Roman" w:cs="Times New Roman"/>
        <w:b/>
        <w:i w:val="0"/>
        <w:caps/>
        <w:smallCaps w:val="0"/>
        <w:color w:val="000000"/>
        <w:sz w:val="20"/>
        <w:u w:val="none"/>
      </w:rPr>
    </w:lvl>
    <w:lvl w:ilvl="1">
      <w:start w:val="1"/>
      <w:numFmt w:val="none"/>
      <w:pStyle w:val="GGenL2"/>
      <w:suff w:val="nothing"/>
      <w:lvlText w:val=""/>
      <w:lvlJc w:val="left"/>
      <w:pPr>
        <w:ind w:left="0" w:firstLine="0"/>
      </w:pPr>
      <w:rPr>
        <w:rFonts w:ascii="Times New Roman" w:hAnsi="Times New Roman" w:cs="Times New Roman"/>
        <w:b/>
        <w:i w:val="0"/>
        <w:caps w:val="0"/>
        <w:smallCaps w:val="0"/>
        <w:color w:val="000000"/>
        <w:sz w:val="20"/>
        <w:u w:val="none"/>
      </w:rPr>
    </w:lvl>
    <w:lvl w:ilvl="2">
      <w:start w:val="1"/>
      <w:numFmt w:val="none"/>
      <w:pStyle w:val="GGenL3"/>
      <w:suff w:val="nothing"/>
      <w:lvlText w:val=""/>
      <w:lvlJc w:val="left"/>
      <w:pPr>
        <w:tabs>
          <w:tab w:val="num" w:pos="0"/>
        </w:tabs>
        <w:ind w:left="0" w:firstLine="0"/>
      </w:pPr>
      <w:rPr>
        <w:rFonts w:ascii="Times New Roman" w:hAnsi="Times New Roman" w:cs="Times New Roman"/>
        <w:b w:val="0"/>
        <w:i/>
        <w:caps w:val="0"/>
        <w:smallCaps w:val="0"/>
        <w:color w:val="000000"/>
        <w:sz w:val="20"/>
        <w:u w:val="none"/>
      </w:rPr>
    </w:lvl>
    <w:lvl w:ilvl="3">
      <w:start w:val="1"/>
      <w:numFmt w:val="bullet"/>
      <w:pStyle w:val="GGenL4"/>
      <w:lvlText w:val="·"/>
      <w:lvlJc w:val="left"/>
      <w:pPr>
        <w:tabs>
          <w:tab w:val="num" w:pos="1080"/>
        </w:tabs>
        <w:ind w:left="1080" w:hanging="360"/>
      </w:pPr>
      <w:rPr>
        <w:rFonts w:ascii="Symbol" w:hAnsi="Symbol" w:hint="default"/>
        <w:b w:val="0"/>
        <w:i w:val="0"/>
        <w:caps w:val="0"/>
        <w:smallCaps w:val="0"/>
        <w:color w:val="auto"/>
        <w:sz w:val="20"/>
        <w:u w:val="none"/>
      </w:rPr>
    </w:lvl>
    <w:lvl w:ilvl="4">
      <w:start w:val="1"/>
      <w:numFmt w:val="lowerRoman"/>
      <w:pStyle w:val="GGenL5"/>
      <w:lvlText w:val="(%5)"/>
      <w:lvlJc w:val="left"/>
      <w:pPr>
        <w:tabs>
          <w:tab w:val="num" w:pos="720"/>
        </w:tabs>
        <w:ind w:left="720" w:hanging="720"/>
      </w:pPr>
      <w:rPr>
        <w:rFonts w:ascii="Times New Roman" w:hAnsi="Times New Roman" w:cs="Times New Roman"/>
        <w:b/>
        <w:i/>
        <w:caps w:val="0"/>
        <w:smallCaps w:val="0"/>
        <w:color w:val="000000"/>
        <w:sz w:val="20"/>
        <w:u w:val="none"/>
      </w:rPr>
    </w:lvl>
    <w:lvl w:ilvl="5">
      <w:start w:val="1"/>
      <w:numFmt w:val="lowerLetter"/>
      <w:pStyle w:val="GGenL6"/>
      <w:lvlText w:val="(%6)"/>
      <w:lvlJc w:val="left"/>
      <w:pPr>
        <w:tabs>
          <w:tab w:val="num" w:pos="1440"/>
        </w:tabs>
        <w:ind w:left="1440" w:hanging="720"/>
      </w:pPr>
      <w:rPr>
        <w:rFonts w:ascii="Times New Roman" w:hAnsi="Times New Roman" w:cs="Times New Roman"/>
        <w:b w:val="0"/>
        <w:i/>
        <w:caps w:val="0"/>
        <w:smallCaps w:val="0"/>
        <w:color w:val="000000"/>
        <w:sz w:val="20"/>
        <w:u w:val="none"/>
      </w:rPr>
    </w:lvl>
    <w:lvl w:ilvl="6">
      <w:start w:val="1"/>
      <w:numFmt w:val="upperLetter"/>
      <w:pStyle w:val="GGenL7"/>
      <w:lvlText w:val="(%7)"/>
      <w:lvlJc w:val="left"/>
      <w:pPr>
        <w:tabs>
          <w:tab w:val="num" w:pos="2160"/>
        </w:tabs>
        <w:ind w:left="2160" w:hanging="720"/>
      </w:pPr>
      <w:rPr>
        <w:rFonts w:ascii="Times New Roman" w:hAnsi="Times New Roman" w:cs="Times New Roman"/>
        <w:b w:val="0"/>
        <w:i w:val="0"/>
        <w:caps w:val="0"/>
        <w:smallCaps w:val="0"/>
        <w:color w:val="auto"/>
        <w:sz w:val="20"/>
        <w:u w:val="none"/>
      </w:rPr>
    </w:lvl>
    <w:lvl w:ilvl="7">
      <w:start w:val="1"/>
      <w:numFmt w:val="none"/>
      <w:pStyle w:val="GGenL8"/>
      <w:suff w:val="nothing"/>
      <w:lvlText w:val=""/>
      <w:lvlJc w:val="left"/>
      <w:pPr>
        <w:ind w:left="720" w:firstLine="0"/>
      </w:pPr>
      <w:rPr>
        <w:rFonts w:ascii="Times New Roman" w:hAnsi="Times New Roman" w:cs="Times New Roman"/>
        <w:b w:val="0"/>
        <w:i/>
        <w:caps w:val="0"/>
        <w:smallCaps w:val="0"/>
        <w:color w:val="000000"/>
        <w:sz w:val="20"/>
        <w:u w:val="none"/>
      </w:rPr>
    </w:lvl>
    <w:lvl w:ilvl="8">
      <w:start w:val="1"/>
      <w:numFmt w:val="decimal"/>
      <w:pStyle w:val="GGenL9"/>
      <w:lvlText w:val="(%9)"/>
      <w:lvlJc w:val="left"/>
      <w:pPr>
        <w:tabs>
          <w:tab w:val="num" w:pos="360"/>
        </w:tabs>
        <w:ind w:left="360" w:hanging="360"/>
      </w:pPr>
      <w:rPr>
        <w:rFonts w:ascii="Times New Roman" w:hAnsi="Times New Roman" w:cs="Times New Roman"/>
        <w:b w:val="0"/>
        <w:i w:val="0"/>
        <w:caps w:val="0"/>
        <w:smallCaps w:val="0"/>
        <w:color w:val="000000"/>
        <w:sz w:val="1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F1"/>
    <w:rsid w:val="00E169F1"/>
    <w:rsid w:val="00E8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E1E7C-5872-437B-8162-61D35962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69F1"/>
    <w:rPr>
      <w:color w:val="0000FF"/>
      <w:u w:val="single"/>
    </w:rPr>
  </w:style>
  <w:style w:type="paragraph" w:customStyle="1" w:styleId="SimpleAL1">
    <w:name w:val="SimpleA L1"/>
    <w:basedOn w:val="Normal"/>
    <w:rsid w:val="00E169F1"/>
    <w:pPr>
      <w:numPr>
        <w:numId w:val="1"/>
      </w:numPr>
      <w:spacing w:after="240" w:line="240" w:lineRule="auto"/>
      <w:jc w:val="both"/>
      <w:outlineLvl w:val="0"/>
    </w:pPr>
    <w:rPr>
      <w:rFonts w:ascii="Times New Roman" w:eastAsia="Times New Roman" w:hAnsi="Times New Roman" w:cs="Times New Roman"/>
      <w:color w:val="000000"/>
      <w:sz w:val="20"/>
      <w:szCs w:val="24"/>
      <w:lang w:val="en-CA"/>
    </w:rPr>
  </w:style>
  <w:style w:type="paragraph" w:customStyle="1" w:styleId="SimpleAL2">
    <w:name w:val="SimpleA L2"/>
    <w:basedOn w:val="Normal"/>
    <w:rsid w:val="00E169F1"/>
    <w:pPr>
      <w:numPr>
        <w:ilvl w:val="1"/>
        <w:numId w:val="1"/>
      </w:numPr>
      <w:spacing w:after="120" w:line="240" w:lineRule="auto"/>
      <w:jc w:val="both"/>
      <w:outlineLvl w:val="1"/>
    </w:pPr>
    <w:rPr>
      <w:rFonts w:ascii="Times New Roman" w:eastAsia="Times New Roman" w:hAnsi="Times New Roman" w:cs="Times New Roman"/>
      <w:color w:val="000000"/>
      <w:sz w:val="20"/>
      <w:szCs w:val="24"/>
      <w:lang w:val="en-CA"/>
    </w:rPr>
  </w:style>
  <w:style w:type="paragraph" w:customStyle="1" w:styleId="SimpleAL3">
    <w:name w:val="SimpleA L3"/>
    <w:basedOn w:val="Normal"/>
    <w:rsid w:val="00E169F1"/>
    <w:pPr>
      <w:numPr>
        <w:ilvl w:val="2"/>
        <w:numId w:val="1"/>
      </w:numPr>
      <w:spacing w:after="240" w:line="240" w:lineRule="auto"/>
      <w:jc w:val="both"/>
      <w:outlineLvl w:val="2"/>
    </w:pPr>
    <w:rPr>
      <w:rFonts w:ascii="Times New Roman" w:eastAsia="Times New Roman" w:hAnsi="Times New Roman" w:cs="Times New Roman"/>
      <w:color w:val="000000"/>
      <w:sz w:val="20"/>
      <w:szCs w:val="24"/>
      <w:lang w:val="en-CA"/>
    </w:rPr>
  </w:style>
  <w:style w:type="paragraph" w:customStyle="1" w:styleId="SimpleAL4">
    <w:name w:val="SimpleA L4"/>
    <w:basedOn w:val="Normal"/>
    <w:rsid w:val="00E169F1"/>
    <w:pPr>
      <w:numPr>
        <w:ilvl w:val="3"/>
        <w:numId w:val="1"/>
      </w:numPr>
      <w:spacing w:after="240" w:line="240" w:lineRule="auto"/>
      <w:jc w:val="both"/>
      <w:outlineLvl w:val="3"/>
    </w:pPr>
    <w:rPr>
      <w:rFonts w:ascii="Times New Roman" w:eastAsia="Times New Roman" w:hAnsi="Times New Roman" w:cs="Times New Roman"/>
      <w:color w:val="000000"/>
      <w:sz w:val="20"/>
      <w:szCs w:val="24"/>
      <w:lang w:val="en-CA"/>
    </w:rPr>
  </w:style>
  <w:style w:type="paragraph" w:customStyle="1" w:styleId="SimpleAL5">
    <w:name w:val="SimpleA L5"/>
    <w:basedOn w:val="Normal"/>
    <w:rsid w:val="00E169F1"/>
    <w:pPr>
      <w:numPr>
        <w:ilvl w:val="4"/>
        <w:numId w:val="1"/>
      </w:numPr>
      <w:spacing w:after="240" w:line="240" w:lineRule="auto"/>
      <w:jc w:val="both"/>
      <w:outlineLvl w:val="4"/>
    </w:pPr>
    <w:rPr>
      <w:rFonts w:ascii="Times New Roman" w:eastAsia="Times New Roman" w:hAnsi="Times New Roman" w:cs="Times New Roman"/>
      <w:color w:val="000000"/>
      <w:sz w:val="20"/>
      <w:szCs w:val="24"/>
      <w:lang w:val="en-CA"/>
    </w:rPr>
  </w:style>
  <w:style w:type="paragraph" w:customStyle="1" w:styleId="SimpleAL6">
    <w:name w:val="SimpleA L6"/>
    <w:basedOn w:val="Normal"/>
    <w:rsid w:val="00E169F1"/>
    <w:pPr>
      <w:numPr>
        <w:ilvl w:val="5"/>
        <w:numId w:val="1"/>
      </w:numPr>
      <w:spacing w:after="240" w:line="240" w:lineRule="auto"/>
      <w:jc w:val="both"/>
      <w:outlineLvl w:val="5"/>
    </w:pPr>
    <w:rPr>
      <w:rFonts w:ascii="Times New Roman" w:eastAsia="Times New Roman" w:hAnsi="Times New Roman" w:cs="Times New Roman"/>
      <w:color w:val="000000"/>
      <w:sz w:val="20"/>
      <w:szCs w:val="24"/>
      <w:lang w:val="en-CA"/>
    </w:rPr>
  </w:style>
  <w:style w:type="paragraph" w:customStyle="1" w:styleId="SimpleAL7">
    <w:name w:val="SimpleA L7"/>
    <w:basedOn w:val="Normal"/>
    <w:rsid w:val="00E169F1"/>
    <w:pPr>
      <w:numPr>
        <w:ilvl w:val="6"/>
        <w:numId w:val="1"/>
      </w:numPr>
      <w:spacing w:after="240" w:line="240" w:lineRule="auto"/>
      <w:jc w:val="both"/>
      <w:outlineLvl w:val="6"/>
    </w:pPr>
    <w:rPr>
      <w:rFonts w:ascii="Times New Roman" w:eastAsia="Times New Roman" w:hAnsi="Times New Roman" w:cs="Times New Roman"/>
      <w:color w:val="000000"/>
      <w:sz w:val="20"/>
      <w:szCs w:val="24"/>
      <w:lang w:val="en-CA"/>
    </w:rPr>
  </w:style>
  <w:style w:type="paragraph" w:customStyle="1" w:styleId="SimpleAL8">
    <w:name w:val="SimpleA L8"/>
    <w:basedOn w:val="Normal"/>
    <w:rsid w:val="00E169F1"/>
    <w:pPr>
      <w:numPr>
        <w:ilvl w:val="7"/>
        <w:numId w:val="1"/>
      </w:numPr>
      <w:spacing w:after="240" w:line="240" w:lineRule="auto"/>
      <w:jc w:val="both"/>
      <w:outlineLvl w:val="7"/>
    </w:pPr>
    <w:rPr>
      <w:rFonts w:ascii="Times New Roman" w:eastAsia="Times New Roman" w:hAnsi="Times New Roman" w:cs="Times New Roman"/>
      <w:color w:val="000000"/>
      <w:sz w:val="20"/>
      <w:szCs w:val="24"/>
      <w:lang w:val="en-CA"/>
    </w:rPr>
  </w:style>
  <w:style w:type="paragraph" w:customStyle="1" w:styleId="SimpleAL9">
    <w:name w:val="SimpleA L9"/>
    <w:basedOn w:val="Normal"/>
    <w:rsid w:val="00E169F1"/>
    <w:pPr>
      <w:numPr>
        <w:ilvl w:val="8"/>
        <w:numId w:val="1"/>
      </w:numPr>
      <w:spacing w:after="240" w:line="240" w:lineRule="auto"/>
      <w:jc w:val="both"/>
      <w:outlineLvl w:val="8"/>
    </w:pPr>
    <w:rPr>
      <w:rFonts w:ascii="Times New Roman" w:eastAsia="Times New Roman" w:hAnsi="Times New Roman" w:cs="Times New Roman"/>
      <w:color w:val="000000"/>
      <w:sz w:val="20"/>
      <w:szCs w:val="24"/>
      <w:lang w:val="en-CA"/>
    </w:rPr>
  </w:style>
  <w:style w:type="numbering" w:customStyle="1" w:styleId="SimpleAList">
    <w:name w:val="SimpleA List"/>
    <w:basedOn w:val="NoList"/>
    <w:rsid w:val="00E169F1"/>
    <w:pPr>
      <w:numPr>
        <w:numId w:val="1"/>
      </w:numPr>
    </w:pPr>
  </w:style>
  <w:style w:type="paragraph" w:customStyle="1" w:styleId="GGenL1">
    <w:name w:val="GGen L1"/>
    <w:aliases w:val="G1"/>
    <w:basedOn w:val="Normal"/>
    <w:rsid w:val="00E169F1"/>
    <w:pPr>
      <w:keepNext/>
      <w:numPr>
        <w:numId w:val="2"/>
      </w:numPr>
      <w:spacing w:before="240" w:after="240" w:line="240" w:lineRule="auto"/>
      <w:jc w:val="center"/>
      <w:outlineLvl w:val="0"/>
    </w:pPr>
    <w:rPr>
      <w:rFonts w:ascii="Times New Roman" w:eastAsia="Times New Roman" w:hAnsi="Times New Roman" w:cs="Times New Roman"/>
      <w:b/>
      <w:caps/>
      <w:color w:val="000000"/>
      <w:sz w:val="20"/>
      <w:szCs w:val="24"/>
      <w:lang w:val="en-CA"/>
    </w:rPr>
  </w:style>
  <w:style w:type="paragraph" w:customStyle="1" w:styleId="GGenL2">
    <w:name w:val="GGen L2"/>
    <w:aliases w:val="G2"/>
    <w:basedOn w:val="Normal"/>
    <w:rsid w:val="00E169F1"/>
    <w:pPr>
      <w:keepNext/>
      <w:numPr>
        <w:ilvl w:val="1"/>
        <w:numId w:val="2"/>
      </w:numPr>
      <w:spacing w:before="240" w:after="240" w:line="240" w:lineRule="auto"/>
      <w:jc w:val="both"/>
      <w:outlineLvl w:val="1"/>
    </w:pPr>
    <w:rPr>
      <w:rFonts w:ascii="Times New Roman" w:eastAsia="Times New Roman" w:hAnsi="Times New Roman" w:cs="Times New Roman"/>
      <w:b/>
      <w:color w:val="000000"/>
      <w:sz w:val="20"/>
      <w:szCs w:val="24"/>
      <w:lang w:val="en-CA"/>
    </w:rPr>
  </w:style>
  <w:style w:type="paragraph" w:customStyle="1" w:styleId="GGenL3">
    <w:name w:val="GGen L3"/>
    <w:aliases w:val="G3"/>
    <w:basedOn w:val="Normal"/>
    <w:rsid w:val="00E169F1"/>
    <w:pPr>
      <w:keepNext/>
      <w:numPr>
        <w:ilvl w:val="2"/>
        <w:numId w:val="2"/>
      </w:numPr>
      <w:spacing w:before="240" w:after="240" w:line="240" w:lineRule="auto"/>
      <w:outlineLvl w:val="2"/>
    </w:pPr>
    <w:rPr>
      <w:rFonts w:ascii="Times New Roman" w:eastAsia="Times New Roman" w:hAnsi="Times New Roman" w:cs="Times New Roman"/>
      <w:i/>
      <w:color w:val="000000"/>
      <w:sz w:val="20"/>
      <w:szCs w:val="24"/>
      <w:lang w:val="en-CA"/>
    </w:rPr>
  </w:style>
  <w:style w:type="paragraph" w:customStyle="1" w:styleId="GGenL4">
    <w:name w:val="GGen L4"/>
    <w:aliases w:val="G4"/>
    <w:basedOn w:val="Normal"/>
    <w:rsid w:val="00E169F1"/>
    <w:pPr>
      <w:numPr>
        <w:ilvl w:val="3"/>
        <w:numId w:val="2"/>
      </w:numPr>
      <w:spacing w:after="120" w:line="240" w:lineRule="auto"/>
      <w:jc w:val="both"/>
    </w:pPr>
    <w:rPr>
      <w:rFonts w:ascii="Times New Roman" w:eastAsia="Times New Roman" w:hAnsi="Times New Roman" w:cs="Times New Roman"/>
      <w:sz w:val="20"/>
      <w:szCs w:val="24"/>
      <w:lang w:val="en-CA"/>
    </w:rPr>
  </w:style>
  <w:style w:type="paragraph" w:customStyle="1" w:styleId="GGenL5">
    <w:name w:val="GGen L5"/>
    <w:aliases w:val="G5"/>
    <w:basedOn w:val="Normal"/>
    <w:rsid w:val="00E169F1"/>
    <w:pPr>
      <w:keepNext/>
      <w:numPr>
        <w:ilvl w:val="4"/>
        <w:numId w:val="2"/>
      </w:numPr>
      <w:spacing w:before="240" w:after="240" w:line="240" w:lineRule="auto"/>
      <w:jc w:val="both"/>
    </w:pPr>
    <w:rPr>
      <w:rFonts w:ascii="Times New Roman" w:eastAsia="Times New Roman" w:hAnsi="Times New Roman" w:cs="Times New Roman"/>
      <w:b/>
      <w:i/>
      <w:color w:val="000000"/>
      <w:sz w:val="20"/>
      <w:szCs w:val="24"/>
      <w:lang w:val="en-CA"/>
    </w:rPr>
  </w:style>
  <w:style w:type="paragraph" w:customStyle="1" w:styleId="GGenL6">
    <w:name w:val="GGen L6"/>
    <w:aliases w:val="G6"/>
    <w:basedOn w:val="Normal"/>
    <w:rsid w:val="00E169F1"/>
    <w:pPr>
      <w:keepNext/>
      <w:numPr>
        <w:ilvl w:val="5"/>
        <w:numId w:val="2"/>
      </w:numPr>
      <w:spacing w:after="120" w:line="240" w:lineRule="auto"/>
      <w:jc w:val="both"/>
    </w:pPr>
    <w:rPr>
      <w:rFonts w:ascii="Times New Roman" w:eastAsia="Times New Roman" w:hAnsi="Times New Roman" w:cs="Times New Roman"/>
      <w:i/>
      <w:color w:val="000000"/>
      <w:sz w:val="20"/>
      <w:szCs w:val="24"/>
      <w:lang w:val="en-CA"/>
    </w:rPr>
  </w:style>
  <w:style w:type="paragraph" w:customStyle="1" w:styleId="GGenL7">
    <w:name w:val="GGen L7"/>
    <w:aliases w:val="G7"/>
    <w:basedOn w:val="Normal"/>
    <w:rsid w:val="00E169F1"/>
    <w:pPr>
      <w:keepNext/>
      <w:numPr>
        <w:ilvl w:val="6"/>
        <w:numId w:val="2"/>
      </w:numPr>
      <w:spacing w:after="120" w:line="240" w:lineRule="auto"/>
      <w:jc w:val="both"/>
    </w:pPr>
    <w:rPr>
      <w:rFonts w:ascii="Times New Roman" w:eastAsia="Times New Roman" w:hAnsi="Times New Roman" w:cs="Times New Roman"/>
      <w:sz w:val="20"/>
      <w:szCs w:val="24"/>
      <w:u w:val="single"/>
      <w:lang w:val="en-CA"/>
    </w:rPr>
  </w:style>
  <w:style w:type="paragraph" w:customStyle="1" w:styleId="GGenL8">
    <w:name w:val="GGen L8"/>
    <w:aliases w:val="G8"/>
    <w:basedOn w:val="Normal"/>
    <w:rsid w:val="00E169F1"/>
    <w:pPr>
      <w:keepNext/>
      <w:numPr>
        <w:ilvl w:val="7"/>
        <w:numId w:val="2"/>
      </w:numPr>
      <w:spacing w:after="120" w:line="240" w:lineRule="auto"/>
      <w:jc w:val="both"/>
    </w:pPr>
    <w:rPr>
      <w:rFonts w:ascii="Times New Roman" w:eastAsia="Times New Roman" w:hAnsi="Times New Roman" w:cs="Times New Roman"/>
      <w:i/>
      <w:color w:val="000000"/>
      <w:sz w:val="20"/>
      <w:szCs w:val="24"/>
      <w:lang w:val="en-CA"/>
    </w:rPr>
  </w:style>
  <w:style w:type="paragraph" w:customStyle="1" w:styleId="GGenL9">
    <w:name w:val="GGen L9"/>
    <w:aliases w:val="G9"/>
    <w:basedOn w:val="Normal"/>
    <w:rsid w:val="00E169F1"/>
    <w:pPr>
      <w:numPr>
        <w:ilvl w:val="8"/>
        <w:numId w:val="2"/>
      </w:numPr>
      <w:spacing w:after="60" w:line="240" w:lineRule="auto"/>
      <w:jc w:val="both"/>
    </w:pPr>
    <w:rPr>
      <w:rFonts w:ascii="Times New Roman" w:eastAsia="Times New Roman" w:hAnsi="Times New Roman" w:cs="Times New Roman"/>
      <w:color w:val="000000"/>
      <w:sz w:val="18"/>
      <w:szCs w:val="24"/>
      <w:lang w:val="en-CA"/>
    </w:rPr>
  </w:style>
  <w:style w:type="numbering" w:customStyle="1" w:styleId="GGeneralList">
    <w:name w:val="GGeneral List"/>
    <w:basedOn w:val="NoList"/>
    <w:rsid w:val="00E169F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cineplex.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dar.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Cineplex Entertainment L. P.</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Marshall</dc:creator>
  <cp:keywords/>
  <dc:description/>
  <cp:lastModifiedBy>Pat Marshall</cp:lastModifiedBy>
  <cp:revision>1</cp:revision>
  <dcterms:created xsi:type="dcterms:W3CDTF">2015-04-01T13:57:00Z</dcterms:created>
  <dcterms:modified xsi:type="dcterms:W3CDTF">2015-04-01T13:57:00Z</dcterms:modified>
</cp:coreProperties>
</file>